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left"/>
        <w:rPr>
          <w:b/>
          <w:bCs/>
        </w:rPr>
      </w:pPr>
      <w:r>
        <w:rPr>
          <w:rFonts w:hint="eastAsia"/>
          <w:b/>
          <w:bCs/>
        </w:rPr>
        <w:t>附件1</w:t>
      </w:r>
      <w:r>
        <w:rPr>
          <w:rFonts w:hint="eastAsia"/>
          <w:b/>
          <w:bCs/>
          <w:lang w:eastAsia="zh-CN"/>
        </w:rPr>
        <w:t>：</w:t>
      </w:r>
      <w:bookmarkStart w:id="0" w:name="_GoBack"/>
      <w:bookmarkEnd w:id="0"/>
    </w:p>
    <w:p>
      <w:pPr>
        <w:adjustRightInd w:val="0"/>
        <w:snapToGrid w:val="0"/>
        <w:spacing w:line="360" w:lineRule="auto"/>
        <w:jc w:val="center"/>
        <w:rPr>
          <w:sz w:val="24"/>
          <w:szCs w:val="24"/>
        </w:rPr>
      </w:pPr>
      <w:r>
        <w:rPr>
          <w:rFonts w:hint="eastAsia"/>
          <w:b/>
          <w:bCs/>
        </w:rPr>
        <w:t>中国皮革和制鞋工业研究院检测中心2015年第一批能力验证计划目录表</w:t>
      </w:r>
    </w:p>
    <w:tbl>
      <w:tblPr>
        <w:tblStyle w:val="12"/>
        <w:tblW w:w="137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28" w:type="dxa"/>
          <w:bottom w:w="28" w:type="dxa"/>
          <w:right w:w="28" w:type="dxa"/>
        </w:tblCellMar>
      </w:tblPr>
      <w:tblGrid>
        <w:gridCol w:w="569"/>
        <w:gridCol w:w="2471"/>
        <w:gridCol w:w="1878"/>
        <w:gridCol w:w="995"/>
        <w:gridCol w:w="959"/>
        <w:gridCol w:w="3810"/>
        <w:gridCol w:w="1698"/>
        <w:gridCol w:w="771"/>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28" w:type="dxa"/>
            <w:bottom w:w="28" w:type="dxa"/>
            <w:right w:w="28" w:type="dxa"/>
          </w:tblCellMar>
        </w:tblPrEx>
        <w:trPr>
          <w:trHeight w:val="357" w:hRule="atLeast"/>
          <w:tblHeader/>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bCs/>
                <w:kern w:val="0"/>
                <w:sz w:val="21"/>
                <w:szCs w:val="21"/>
              </w:rPr>
            </w:pPr>
            <w:r>
              <w:rPr>
                <w:bCs/>
                <w:kern w:val="0"/>
                <w:sz w:val="21"/>
                <w:szCs w:val="21"/>
              </w:rPr>
              <w:t>序号</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bCs/>
                <w:kern w:val="0"/>
                <w:sz w:val="21"/>
                <w:szCs w:val="21"/>
              </w:rPr>
            </w:pPr>
            <w:r>
              <w:rPr>
                <w:bCs/>
                <w:kern w:val="0"/>
                <w:sz w:val="21"/>
                <w:szCs w:val="21"/>
              </w:rPr>
              <w:t>计划编号</w:t>
            </w:r>
          </w:p>
        </w:tc>
        <w:tc>
          <w:tcPr>
            <w:tcW w:w="1878" w:type="dxa"/>
            <w:tcBorders>
              <w:top w:val="single" w:color="auto" w:sz="4" w:space="0"/>
              <w:left w:val="nil"/>
              <w:bottom w:val="single" w:color="auto" w:sz="4" w:space="0"/>
              <w:right w:val="single" w:color="auto" w:sz="4" w:space="0"/>
            </w:tcBorders>
            <w:vAlign w:val="center"/>
          </w:tcPr>
          <w:p>
            <w:pPr>
              <w:widowControl/>
              <w:jc w:val="center"/>
              <w:rPr>
                <w:bCs/>
                <w:kern w:val="0"/>
                <w:sz w:val="21"/>
                <w:szCs w:val="21"/>
              </w:rPr>
            </w:pPr>
            <w:r>
              <w:rPr>
                <w:bCs/>
                <w:kern w:val="0"/>
                <w:sz w:val="21"/>
                <w:szCs w:val="21"/>
              </w:rPr>
              <w:t>计划名称</w:t>
            </w:r>
          </w:p>
        </w:tc>
        <w:tc>
          <w:tcPr>
            <w:tcW w:w="995" w:type="dxa"/>
            <w:tcBorders>
              <w:top w:val="single" w:color="auto" w:sz="4" w:space="0"/>
              <w:left w:val="nil"/>
              <w:bottom w:val="single" w:color="auto" w:sz="4" w:space="0"/>
              <w:right w:val="single" w:color="auto" w:sz="4" w:space="0"/>
            </w:tcBorders>
            <w:vAlign w:val="center"/>
          </w:tcPr>
          <w:p>
            <w:pPr>
              <w:widowControl/>
              <w:jc w:val="center"/>
              <w:rPr>
                <w:bCs/>
                <w:kern w:val="0"/>
                <w:sz w:val="21"/>
                <w:szCs w:val="21"/>
              </w:rPr>
            </w:pPr>
            <w:r>
              <w:rPr>
                <w:bCs/>
                <w:kern w:val="0"/>
                <w:sz w:val="21"/>
                <w:szCs w:val="21"/>
              </w:rPr>
              <w:t>测试项目</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Cs/>
                <w:kern w:val="0"/>
                <w:sz w:val="21"/>
                <w:szCs w:val="21"/>
              </w:rPr>
            </w:pPr>
            <w:r>
              <w:rPr>
                <w:bCs/>
                <w:kern w:val="0"/>
                <w:sz w:val="21"/>
                <w:szCs w:val="21"/>
              </w:rPr>
              <w:t>领域代码</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Cs/>
                <w:kern w:val="0"/>
                <w:sz w:val="21"/>
                <w:szCs w:val="21"/>
              </w:rPr>
            </w:pPr>
            <w:r>
              <w:rPr>
                <w:bCs/>
                <w:kern w:val="0"/>
                <w:sz w:val="21"/>
                <w:szCs w:val="21"/>
              </w:rPr>
              <w:t>可能涉及的测试/测量方法</w:t>
            </w:r>
          </w:p>
        </w:tc>
        <w:tc>
          <w:tcPr>
            <w:tcW w:w="1698" w:type="dxa"/>
            <w:tcBorders>
              <w:top w:val="single" w:color="auto" w:sz="4" w:space="0"/>
              <w:left w:val="nil"/>
              <w:bottom w:val="single" w:color="auto" w:sz="4" w:space="0"/>
              <w:right w:val="single" w:color="auto" w:sz="4" w:space="0"/>
            </w:tcBorders>
            <w:vAlign w:val="center"/>
          </w:tcPr>
          <w:p>
            <w:pPr>
              <w:widowControl/>
              <w:jc w:val="center"/>
              <w:rPr>
                <w:bCs/>
                <w:kern w:val="0"/>
                <w:sz w:val="21"/>
                <w:szCs w:val="21"/>
              </w:rPr>
            </w:pPr>
            <w:r>
              <w:rPr>
                <w:bCs/>
                <w:kern w:val="0"/>
                <w:sz w:val="21"/>
                <w:szCs w:val="21"/>
              </w:rPr>
              <w:t>实施时间</w:t>
            </w:r>
          </w:p>
        </w:tc>
        <w:tc>
          <w:tcPr>
            <w:tcW w:w="771" w:type="dxa"/>
            <w:tcBorders>
              <w:top w:val="single" w:color="auto" w:sz="4" w:space="0"/>
              <w:left w:val="nil"/>
              <w:bottom w:val="single" w:color="auto" w:sz="4" w:space="0"/>
              <w:right w:val="single" w:color="auto" w:sz="4" w:space="0"/>
            </w:tcBorders>
            <w:vAlign w:val="center"/>
          </w:tcPr>
          <w:p>
            <w:pPr>
              <w:widowControl/>
              <w:jc w:val="center"/>
              <w:rPr>
                <w:bCs/>
                <w:kern w:val="0"/>
                <w:sz w:val="21"/>
                <w:szCs w:val="21"/>
              </w:rPr>
            </w:pPr>
            <w:r>
              <w:rPr>
                <w:bCs/>
                <w:kern w:val="0"/>
                <w:sz w:val="21"/>
                <w:szCs w:val="21"/>
              </w:rPr>
              <w:t>费用</w:t>
            </w:r>
          </w:p>
        </w:tc>
        <w:tc>
          <w:tcPr>
            <w:tcW w:w="624" w:type="dxa"/>
            <w:tcBorders>
              <w:top w:val="single" w:color="auto" w:sz="4" w:space="0"/>
              <w:left w:val="nil"/>
              <w:bottom w:val="single" w:color="auto" w:sz="4" w:space="0"/>
              <w:right w:val="single" w:color="auto" w:sz="4" w:space="0"/>
            </w:tcBorders>
            <w:vAlign w:val="center"/>
          </w:tcPr>
          <w:p>
            <w:pPr>
              <w:widowControl/>
              <w:jc w:val="center"/>
              <w:rPr>
                <w:bCs/>
                <w:kern w:val="0"/>
                <w:sz w:val="21"/>
                <w:szCs w:val="21"/>
              </w:rPr>
            </w:pPr>
            <w:r>
              <w:rPr>
                <w:bCs/>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28" w:type="dxa"/>
            <w:bottom w:w="28" w:type="dxa"/>
            <w:right w:w="28" w:type="dxa"/>
          </w:tblCellMar>
        </w:tblPrEx>
        <w:trPr>
          <w:trHeight w:val="357" w:hRule="atLeast"/>
          <w:tblHeader/>
          <w:jc w:val="center"/>
        </w:trPr>
        <w:tc>
          <w:tcPr>
            <w:tcW w:w="569" w:type="dxa"/>
            <w:tcBorders>
              <w:top w:val="single" w:color="auto" w:sz="4" w:space="0"/>
              <w:left w:val="single" w:color="auto" w:sz="4" w:space="0"/>
              <w:right w:val="single" w:color="auto" w:sz="4" w:space="0"/>
            </w:tcBorders>
            <w:vAlign w:val="center"/>
          </w:tcPr>
          <w:p>
            <w:pPr>
              <w:widowControl/>
              <w:jc w:val="center"/>
              <w:rPr>
                <w:sz w:val="21"/>
                <w:szCs w:val="21"/>
              </w:rPr>
            </w:pPr>
            <w:r>
              <w:rPr>
                <w:rFonts w:hint="eastAsia"/>
                <w:sz w:val="21"/>
                <w:szCs w:val="21"/>
              </w:rPr>
              <w:t>1</w:t>
            </w:r>
          </w:p>
        </w:tc>
        <w:tc>
          <w:tcPr>
            <w:tcW w:w="2471" w:type="dxa"/>
            <w:tcBorders>
              <w:top w:val="single" w:color="auto" w:sz="4" w:space="0"/>
              <w:left w:val="single" w:color="auto" w:sz="4" w:space="0"/>
              <w:right w:val="single" w:color="auto" w:sz="4" w:space="0"/>
            </w:tcBorders>
            <w:vAlign w:val="center"/>
          </w:tcPr>
          <w:p>
            <w:pPr>
              <w:widowControl/>
              <w:jc w:val="center"/>
              <w:rPr>
                <w:sz w:val="21"/>
                <w:szCs w:val="21"/>
              </w:rPr>
            </w:pPr>
            <w:r>
              <w:rPr>
                <w:rFonts w:hint="eastAsia"/>
                <w:sz w:val="21"/>
                <w:szCs w:val="21"/>
              </w:rPr>
              <w:t>CNAS PT0038-PT-201501</w:t>
            </w:r>
          </w:p>
        </w:tc>
        <w:tc>
          <w:tcPr>
            <w:tcW w:w="1878" w:type="dxa"/>
            <w:tcBorders>
              <w:top w:val="single" w:color="auto" w:sz="4" w:space="0"/>
              <w:left w:val="nil"/>
              <w:right w:val="single" w:color="auto" w:sz="4" w:space="0"/>
            </w:tcBorders>
            <w:vAlign w:val="center"/>
          </w:tcPr>
          <w:p>
            <w:pPr>
              <w:widowControl/>
              <w:rPr>
                <w:sz w:val="21"/>
                <w:szCs w:val="21"/>
              </w:rPr>
            </w:pPr>
            <w:r>
              <w:rPr>
                <w:rFonts w:hint="eastAsia"/>
                <w:sz w:val="21"/>
                <w:szCs w:val="21"/>
              </w:rPr>
              <w:t>皮革中重金属含量的测定</w:t>
            </w:r>
          </w:p>
        </w:tc>
        <w:tc>
          <w:tcPr>
            <w:tcW w:w="995"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镉、铅</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1"/>
                <w:szCs w:val="21"/>
              </w:rPr>
            </w:pPr>
            <w:r>
              <w:rPr>
                <w:rFonts w:hint="eastAsia"/>
                <w:sz w:val="21"/>
                <w:szCs w:val="21"/>
              </w:rPr>
              <w:t>0222</w:t>
            </w:r>
          </w:p>
        </w:tc>
        <w:tc>
          <w:tcPr>
            <w:tcW w:w="3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bCs/>
                <w:kern w:val="0"/>
                <w:sz w:val="21"/>
                <w:szCs w:val="21"/>
              </w:rPr>
            </w:pPr>
            <w:r>
              <w:rPr>
                <w:rFonts w:hint="eastAsia"/>
                <w:bCs/>
                <w:kern w:val="0"/>
                <w:sz w:val="21"/>
                <w:szCs w:val="21"/>
              </w:rPr>
              <w:t>GB/T 22930-2008 皮革和毛皮 化学试验 重金属含量的测定</w:t>
            </w:r>
          </w:p>
          <w:p>
            <w:pPr>
              <w:jc w:val="left"/>
              <w:rPr>
                <w:bCs/>
                <w:kern w:val="0"/>
                <w:sz w:val="21"/>
                <w:szCs w:val="21"/>
              </w:rPr>
            </w:pPr>
            <w:r>
              <w:rPr>
                <w:bCs/>
                <w:kern w:val="0"/>
                <w:sz w:val="21"/>
                <w:szCs w:val="21"/>
              </w:rPr>
              <w:t>QB/T 4340-2012</w:t>
            </w:r>
            <w:r>
              <w:rPr>
                <w:rFonts w:hint="eastAsia"/>
                <w:bCs/>
                <w:kern w:val="0"/>
                <w:sz w:val="21"/>
                <w:szCs w:val="21"/>
              </w:rPr>
              <w:t xml:space="preserve"> </w:t>
            </w:r>
            <w:r>
              <w:rPr>
                <w:bCs/>
                <w:kern w:val="0"/>
                <w:sz w:val="21"/>
                <w:szCs w:val="21"/>
              </w:rPr>
              <w:t>鞋类 化学试验方法 重金属总含量的测定 电感耦合等离子体发射光谱法</w:t>
            </w:r>
          </w:p>
        </w:tc>
        <w:tc>
          <w:tcPr>
            <w:tcW w:w="1698" w:type="dxa"/>
            <w:tcBorders>
              <w:top w:val="single" w:color="auto" w:sz="4" w:space="0"/>
              <w:left w:val="nil"/>
              <w:bottom w:val="single" w:color="auto" w:sz="4" w:space="0"/>
              <w:right w:val="single" w:color="auto" w:sz="4" w:space="0"/>
            </w:tcBorders>
            <w:vAlign w:val="center"/>
          </w:tcPr>
          <w:p>
            <w:pPr>
              <w:jc w:val="left"/>
              <w:rPr>
                <w:rFonts w:ascii="宋体" w:hAnsi="宋体"/>
                <w:sz w:val="20"/>
                <w:szCs w:val="20"/>
              </w:rPr>
            </w:pPr>
            <w:r>
              <w:rPr>
                <w:rFonts w:hint="eastAsia" w:ascii="宋体" w:hAnsi="宋体"/>
                <w:sz w:val="20"/>
                <w:szCs w:val="20"/>
              </w:rPr>
              <w:t>报名截止日期：2015.4.31</w:t>
            </w:r>
          </w:p>
          <w:p>
            <w:pPr>
              <w:jc w:val="left"/>
              <w:rPr>
                <w:sz w:val="21"/>
                <w:szCs w:val="21"/>
              </w:rPr>
            </w:pPr>
            <w:r>
              <w:rPr>
                <w:rFonts w:hint="eastAsia" w:ascii="宋体" w:hAnsi="宋体"/>
                <w:sz w:val="20"/>
                <w:szCs w:val="20"/>
              </w:rPr>
              <w:t>具体实施时间：2015.5-2015.7</w:t>
            </w:r>
          </w:p>
        </w:tc>
        <w:tc>
          <w:tcPr>
            <w:tcW w:w="771"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1600元</w:t>
            </w:r>
          </w:p>
        </w:tc>
        <w:tc>
          <w:tcPr>
            <w:tcW w:w="624"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CNAS认可项目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28" w:type="dxa"/>
            <w:bottom w:w="28" w:type="dxa"/>
            <w:right w:w="28" w:type="dxa"/>
          </w:tblCellMar>
        </w:tblPrEx>
        <w:trPr>
          <w:trHeight w:val="357" w:hRule="atLeast"/>
          <w:tblHeader/>
          <w:jc w:val="center"/>
        </w:trPr>
        <w:tc>
          <w:tcPr>
            <w:tcW w:w="569" w:type="dxa"/>
            <w:vMerge w:val="restart"/>
            <w:tcBorders>
              <w:top w:val="single" w:color="auto" w:sz="4" w:space="0"/>
              <w:left w:val="single" w:color="auto" w:sz="4" w:space="0"/>
              <w:right w:val="single" w:color="auto" w:sz="4" w:space="0"/>
            </w:tcBorders>
            <w:vAlign w:val="center"/>
          </w:tcPr>
          <w:p>
            <w:pPr>
              <w:widowControl/>
              <w:jc w:val="center"/>
              <w:rPr>
                <w:sz w:val="21"/>
                <w:szCs w:val="21"/>
              </w:rPr>
            </w:pPr>
            <w:r>
              <w:rPr>
                <w:rFonts w:hint="eastAsia"/>
                <w:sz w:val="21"/>
                <w:szCs w:val="21"/>
              </w:rPr>
              <w:t>2</w:t>
            </w:r>
          </w:p>
        </w:tc>
        <w:tc>
          <w:tcPr>
            <w:tcW w:w="2471" w:type="dxa"/>
            <w:vMerge w:val="restart"/>
            <w:tcBorders>
              <w:top w:val="single" w:color="auto" w:sz="4" w:space="0"/>
              <w:left w:val="single" w:color="auto" w:sz="4" w:space="0"/>
              <w:right w:val="single" w:color="auto" w:sz="4" w:space="0"/>
            </w:tcBorders>
            <w:vAlign w:val="center"/>
          </w:tcPr>
          <w:p>
            <w:pPr>
              <w:widowControl/>
              <w:jc w:val="center"/>
              <w:rPr>
                <w:sz w:val="21"/>
                <w:szCs w:val="21"/>
              </w:rPr>
            </w:pPr>
            <w:r>
              <w:rPr>
                <w:rFonts w:hint="eastAsia"/>
                <w:sz w:val="21"/>
                <w:szCs w:val="21"/>
              </w:rPr>
              <w:t>CNAS PT0038-PT-201502</w:t>
            </w:r>
          </w:p>
        </w:tc>
        <w:tc>
          <w:tcPr>
            <w:tcW w:w="1878" w:type="dxa"/>
            <w:vMerge w:val="restart"/>
            <w:tcBorders>
              <w:top w:val="single" w:color="auto" w:sz="4" w:space="0"/>
              <w:left w:val="nil"/>
              <w:right w:val="single" w:color="auto" w:sz="4" w:space="0"/>
            </w:tcBorders>
            <w:vAlign w:val="center"/>
          </w:tcPr>
          <w:p>
            <w:pPr>
              <w:widowControl/>
              <w:rPr>
                <w:sz w:val="21"/>
                <w:szCs w:val="21"/>
              </w:rPr>
            </w:pPr>
            <w:r>
              <w:rPr>
                <w:rFonts w:hint="eastAsia"/>
                <w:sz w:val="21"/>
                <w:szCs w:val="21"/>
              </w:rPr>
              <w:t>鞋类勾心硬度和纵向刚度的测定</w:t>
            </w:r>
          </w:p>
        </w:tc>
        <w:tc>
          <w:tcPr>
            <w:tcW w:w="995"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洛氏硬度</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1"/>
                <w:szCs w:val="21"/>
              </w:rPr>
            </w:pPr>
            <w:r>
              <w:rPr>
                <w:rFonts w:hint="eastAsia"/>
                <w:sz w:val="21"/>
                <w:szCs w:val="21"/>
              </w:rPr>
              <w:t>0301</w:t>
            </w:r>
          </w:p>
        </w:tc>
        <w:tc>
          <w:tcPr>
            <w:tcW w:w="3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bCs/>
                <w:kern w:val="0"/>
                <w:sz w:val="21"/>
                <w:szCs w:val="21"/>
              </w:rPr>
            </w:pPr>
            <w:r>
              <w:rPr>
                <w:bCs/>
                <w:kern w:val="0"/>
                <w:sz w:val="21"/>
                <w:szCs w:val="21"/>
              </w:rPr>
              <w:t>GB/T 230.1-2009</w:t>
            </w:r>
            <w:r>
              <w:rPr>
                <w:rFonts w:hint="eastAsia"/>
                <w:bCs/>
                <w:kern w:val="0"/>
                <w:sz w:val="21"/>
                <w:szCs w:val="21"/>
              </w:rPr>
              <w:t xml:space="preserve"> </w:t>
            </w:r>
            <w:r>
              <w:rPr>
                <w:bCs/>
                <w:kern w:val="0"/>
                <w:sz w:val="21"/>
                <w:szCs w:val="21"/>
              </w:rPr>
              <w:t>金属材料 洛氏硬度试验 第1部分 试验方法</w:t>
            </w:r>
          </w:p>
        </w:tc>
        <w:tc>
          <w:tcPr>
            <w:tcW w:w="1698" w:type="dxa"/>
            <w:vMerge w:val="restart"/>
            <w:tcBorders>
              <w:top w:val="single" w:color="auto" w:sz="4" w:space="0"/>
              <w:left w:val="nil"/>
              <w:right w:val="single" w:color="auto" w:sz="4" w:space="0"/>
            </w:tcBorders>
            <w:vAlign w:val="center"/>
          </w:tcPr>
          <w:p>
            <w:pPr>
              <w:jc w:val="left"/>
              <w:rPr>
                <w:rFonts w:ascii="宋体" w:hAnsi="宋体"/>
                <w:sz w:val="20"/>
                <w:szCs w:val="20"/>
              </w:rPr>
            </w:pPr>
            <w:r>
              <w:rPr>
                <w:rFonts w:hint="eastAsia" w:ascii="宋体" w:hAnsi="宋体"/>
                <w:sz w:val="20"/>
                <w:szCs w:val="20"/>
              </w:rPr>
              <w:t>报名截止日期：2015.5.31</w:t>
            </w:r>
          </w:p>
          <w:p>
            <w:pPr>
              <w:jc w:val="left"/>
              <w:rPr>
                <w:sz w:val="21"/>
                <w:szCs w:val="21"/>
              </w:rPr>
            </w:pPr>
            <w:r>
              <w:rPr>
                <w:rFonts w:hint="eastAsia" w:ascii="宋体" w:hAnsi="宋体"/>
                <w:sz w:val="20"/>
                <w:szCs w:val="20"/>
              </w:rPr>
              <w:t>具体实施时间：2015.6-2015.7</w:t>
            </w:r>
          </w:p>
        </w:tc>
        <w:tc>
          <w:tcPr>
            <w:tcW w:w="771"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1000元</w:t>
            </w:r>
          </w:p>
        </w:tc>
        <w:tc>
          <w:tcPr>
            <w:tcW w:w="624"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CNAS认可项目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28" w:type="dxa"/>
            <w:bottom w:w="28" w:type="dxa"/>
            <w:right w:w="28" w:type="dxa"/>
          </w:tblCellMar>
        </w:tblPrEx>
        <w:trPr>
          <w:trHeight w:val="357" w:hRule="atLeast"/>
          <w:tblHeader/>
          <w:jc w:val="center"/>
        </w:trPr>
        <w:tc>
          <w:tcPr>
            <w:tcW w:w="569" w:type="dxa"/>
            <w:vMerge w:val="continue"/>
            <w:tcBorders>
              <w:left w:val="single" w:color="auto" w:sz="4" w:space="0"/>
              <w:bottom w:val="single" w:color="auto" w:sz="4" w:space="0"/>
              <w:right w:val="single" w:color="auto" w:sz="4" w:space="0"/>
            </w:tcBorders>
            <w:vAlign w:val="center"/>
          </w:tcPr>
          <w:p>
            <w:pPr>
              <w:widowControl/>
              <w:jc w:val="center"/>
              <w:rPr>
                <w:sz w:val="21"/>
                <w:szCs w:val="21"/>
              </w:rPr>
            </w:pPr>
          </w:p>
        </w:tc>
        <w:tc>
          <w:tcPr>
            <w:tcW w:w="2471" w:type="dxa"/>
            <w:vMerge w:val="continue"/>
            <w:tcBorders>
              <w:left w:val="single" w:color="auto" w:sz="4" w:space="0"/>
              <w:bottom w:val="single" w:color="auto" w:sz="4" w:space="0"/>
              <w:right w:val="single" w:color="auto" w:sz="4" w:space="0"/>
            </w:tcBorders>
            <w:vAlign w:val="center"/>
          </w:tcPr>
          <w:p>
            <w:pPr>
              <w:widowControl/>
              <w:jc w:val="center"/>
              <w:rPr>
                <w:sz w:val="21"/>
                <w:szCs w:val="21"/>
              </w:rPr>
            </w:pPr>
          </w:p>
        </w:tc>
        <w:tc>
          <w:tcPr>
            <w:tcW w:w="1878" w:type="dxa"/>
            <w:vMerge w:val="continue"/>
            <w:tcBorders>
              <w:left w:val="nil"/>
              <w:bottom w:val="single" w:color="auto" w:sz="4" w:space="0"/>
              <w:right w:val="single" w:color="auto" w:sz="4" w:space="0"/>
            </w:tcBorders>
            <w:vAlign w:val="center"/>
          </w:tcPr>
          <w:p>
            <w:pPr>
              <w:widowControl/>
              <w:rPr>
                <w:sz w:val="21"/>
                <w:szCs w:val="21"/>
              </w:rPr>
            </w:pPr>
          </w:p>
        </w:tc>
        <w:tc>
          <w:tcPr>
            <w:tcW w:w="995"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纵向刚度</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1"/>
                <w:szCs w:val="21"/>
              </w:rPr>
            </w:pPr>
            <w:r>
              <w:rPr>
                <w:rFonts w:hint="eastAsia"/>
                <w:sz w:val="21"/>
                <w:szCs w:val="21"/>
              </w:rPr>
              <w:t>0301</w:t>
            </w:r>
          </w:p>
        </w:tc>
        <w:tc>
          <w:tcPr>
            <w:tcW w:w="3810" w:type="dxa"/>
            <w:tcBorders>
              <w:top w:val="single" w:color="auto" w:sz="4" w:space="0"/>
              <w:left w:val="single" w:color="auto" w:sz="4" w:space="0"/>
              <w:bottom w:val="single" w:color="auto" w:sz="4" w:space="0"/>
              <w:right w:val="single" w:color="auto" w:sz="4" w:space="0"/>
            </w:tcBorders>
            <w:vAlign w:val="center"/>
          </w:tcPr>
          <w:p>
            <w:pPr>
              <w:jc w:val="left"/>
              <w:rPr>
                <w:bCs/>
                <w:kern w:val="0"/>
                <w:sz w:val="21"/>
                <w:szCs w:val="21"/>
              </w:rPr>
            </w:pPr>
            <w:r>
              <w:rPr>
                <w:bCs/>
                <w:kern w:val="0"/>
                <w:sz w:val="21"/>
                <w:szCs w:val="21"/>
              </w:rPr>
              <w:t>QB/T 1813-2000</w:t>
            </w:r>
            <w:r>
              <w:rPr>
                <w:rFonts w:hint="eastAsia"/>
                <w:bCs/>
                <w:kern w:val="0"/>
                <w:sz w:val="21"/>
                <w:szCs w:val="21"/>
              </w:rPr>
              <w:t xml:space="preserve"> 皮鞋勾心纵向刚度试验方法</w:t>
            </w:r>
          </w:p>
        </w:tc>
        <w:tc>
          <w:tcPr>
            <w:tcW w:w="1698" w:type="dxa"/>
            <w:vMerge w:val="continue"/>
            <w:tcBorders>
              <w:left w:val="nil"/>
              <w:bottom w:val="single" w:color="auto" w:sz="4" w:space="0"/>
              <w:right w:val="single" w:color="auto" w:sz="4" w:space="0"/>
            </w:tcBorders>
            <w:vAlign w:val="center"/>
          </w:tcPr>
          <w:p>
            <w:pPr>
              <w:jc w:val="left"/>
              <w:rPr>
                <w:sz w:val="21"/>
                <w:szCs w:val="21"/>
              </w:rPr>
            </w:pPr>
          </w:p>
        </w:tc>
        <w:tc>
          <w:tcPr>
            <w:tcW w:w="771"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1000元</w:t>
            </w:r>
          </w:p>
        </w:tc>
        <w:tc>
          <w:tcPr>
            <w:tcW w:w="624" w:type="dxa"/>
            <w:tcBorders>
              <w:top w:val="single" w:color="auto" w:sz="4" w:space="0"/>
              <w:left w:val="nil"/>
              <w:bottom w:val="single" w:color="auto" w:sz="4" w:space="0"/>
              <w:right w:val="single" w:color="auto" w:sz="4" w:space="0"/>
            </w:tcBorders>
            <w:vAlign w:val="center"/>
          </w:tcPr>
          <w:p>
            <w:pPr>
              <w:widowControl/>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28" w:type="dxa"/>
            <w:bottom w:w="28" w:type="dxa"/>
            <w:right w:w="28" w:type="dxa"/>
          </w:tblCellMar>
        </w:tblPrEx>
        <w:trPr>
          <w:trHeight w:val="357" w:hRule="atLeast"/>
          <w:tblHeader/>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rPr>
            </w:pPr>
            <w:r>
              <w:rPr>
                <w:rFonts w:hint="eastAsia"/>
                <w:sz w:val="21"/>
                <w:szCs w:val="21"/>
              </w:rPr>
              <w:t>3</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rPr>
            </w:pPr>
            <w:r>
              <w:rPr>
                <w:rFonts w:hint="eastAsia"/>
                <w:sz w:val="21"/>
                <w:szCs w:val="21"/>
              </w:rPr>
              <w:t>CNAS PT0038-PT-201503</w:t>
            </w:r>
          </w:p>
        </w:tc>
        <w:tc>
          <w:tcPr>
            <w:tcW w:w="1878" w:type="dxa"/>
            <w:tcBorders>
              <w:top w:val="single" w:color="auto" w:sz="4" w:space="0"/>
              <w:left w:val="nil"/>
              <w:bottom w:val="single" w:color="auto" w:sz="4" w:space="0"/>
              <w:right w:val="single" w:color="auto" w:sz="4" w:space="0"/>
            </w:tcBorders>
            <w:vAlign w:val="center"/>
          </w:tcPr>
          <w:p>
            <w:pPr>
              <w:widowControl/>
              <w:rPr>
                <w:sz w:val="21"/>
                <w:szCs w:val="21"/>
              </w:rPr>
            </w:pPr>
            <w:r>
              <w:rPr>
                <w:rFonts w:hint="eastAsia"/>
                <w:sz w:val="21"/>
                <w:szCs w:val="21"/>
              </w:rPr>
              <w:t>鞋底耐磨性能的测定</w:t>
            </w:r>
          </w:p>
        </w:tc>
        <w:tc>
          <w:tcPr>
            <w:tcW w:w="995"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耐磨</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1"/>
                <w:szCs w:val="21"/>
              </w:rPr>
            </w:pPr>
            <w:r>
              <w:rPr>
                <w:rFonts w:hint="eastAsia"/>
                <w:sz w:val="21"/>
                <w:szCs w:val="21"/>
              </w:rPr>
              <w:t>0314</w:t>
            </w:r>
          </w:p>
        </w:tc>
        <w:tc>
          <w:tcPr>
            <w:tcW w:w="3810" w:type="dxa"/>
            <w:tcBorders>
              <w:top w:val="single" w:color="auto" w:sz="4" w:space="0"/>
              <w:left w:val="single" w:color="auto" w:sz="4" w:space="0"/>
              <w:bottom w:val="single" w:color="auto" w:sz="4" w:space="0"/>
              <w:right w:val="single" w:color="auto" w:sz="4" w:space="0"/>
            </w:tcBorders>
            <w:vAlign w:val="center"/>
          </w:tcPr>
          <w:p>
            <w:pPr>
              <w:pStyle w:val="3"/>
              <w:snapToGrid w:val="0"/>
              <w:jc w:val="left"/>
              <w:rPr>
                <w:szCs w:val="21"/>
              </w:rPr>
            </w:pPr>
            <w:r>
              <w:rPr>
                <w:rFonts w:hAnsi="宋体"/>
                <w:szCs w:val="21"/>
              </w:rPr>
              <w:t>GB/T 3903.2-2008</w:t>
            </w:r>
            <w:r>
              <w:rPr>
                <w:rFonts w:hint="eastAsia" w:hAnsi="宋体"/>
                <w:szCs w:val="21"/>
              </w:rPr>
              <w:t>鞋类</w:t>
            </w:r>
            <w:r>
              <w:rPr>
                <w:rFonts w:hAnsi="宋体"/>
                <w:szCs w:val="21"/>
              </w:rPr>
              <w:t xml:space="preserve"> 通用试验方法耐磨性能</w:t>
            </w:r>
          </w:p>
        </w:tc>
        <w:tc>
          <w:tcPr>
            <w:tcW w:w="1698" w:type="dxa"/>
            <w:tcBorders>
              <w:top w:val="single" w:color="auto" w:sz="4" w:space="0"/>
              <w:left w:val="nil"/>
              <w:bottom w:val="single" w:color="auto" w:sz="4" w:space="0"/>
              <w:right w:val="single" w:color="auto" w:sz="4" w:space="0"/>
            </w:tcBorders>
            <w:vAlign w:val="center"/>
          </w:tcPr>
          <w:p>
            <w:pPr>
              <w:jc w:val="left"/>
              <w:rPr>
                <w:rFonts w:ascii="宋体" w:hAnsi="宋体"/>
                <w:sz w:val="20"/>
                <w:szCs w:val="20"/>
              </w:rPr>
            </w:pPr>
            <w:r>
              <w:rPr>
                <w:rFonts w:hint="eastAsia" w:ascii="宋体" w:hAnsi="宋体"/>
                <w:sz w:val="20"/>
                <w:szCs w:val="20"/>
              </w:rPr>
              <w:t>报名截止日期：2015.5.31</w:t>
            </w:r>
          </w:p>
          <w:p>
            <w:pPr>
              <w:jc w:val="left"/>
              <w:rPr>
                <w:sz w:val="21"/>
                <w:szCs w:val="21"/>
              </w:rPr>
            </w:pPr>
            <w:r>
              <w:rPr>
                <w:rFonts w:hint="eastAsia" w:ascii="宋体" w:hAnsi="宋体"/>
                <w:sz w:val="20"/>
                <w:szCs w:val="20"/>
              </w:rPr>
              <w:t>具体实施时间：2015.6-2015.7</w:t>
            </w:r>
          </w:p>
        </w:tc>
        <w:tc>
          <w:tcPr>
            <w:tcW w:w="771"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1200元</w:t>
            </w:r>
          </w:p>
        </w:tc>
        <w:tc>
          <w:tcPr>
            <w:tcW w:w="624" w:type="dxa"/>
            <w:tcBorders>
              <w:top w:val="single" w:color="auto" w:sz="4" w:space="0"/>
              <w:left w:val="nil"/>
              <w:bottom w:val="single" w:color="auto" w:sz="4" w:space="0"/>
              <w:right w:val="single" w:color="auto" w:sz="4" w:space="0"/>
            </w:tcBorders>
            <w:vAlign w:val="center"/>
          </w:tcPr>
          <w:p>
            <w:pPr>
              <w:widowControl/>
              <w:jc w:val="center"/>
              <w:rPr>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28" w:type="dxa"/>
            <w:left w:w="28" w:type="dxa"/>
            <w:bottom w:w="28" w:type="dxa"/>
            <w:right w:w="28" w:type="dxa"/>
          </w:tblCellMar>
        </w:tblPrEx>
        <w:trPr>
          <w:trHeight w:val="357" w:hRule="atLeast"/>
          <w:tblHeader/>
          <w:jc w:val="center"/>
        </w:trPr>
        <w:tc>
          <w:tcPr>
            <w:tcW w:w="569" w:type="dxa"/>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rPr>
            </w:pPr>
            <w:r>
              <w:rPr>
                <w:rFonts w:hint="eastAsia"/>
                <w:sz w:val="21"/>
                <w:szCs w:val="21"/>
              </w:rPr>
              <w:t>4</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sz w:val="21"/>
                <w:szCs w:val="21"/>
              </w:rPr>
            </w:pPr>
            <w:r>
              <w:rPr>
                <w:rFonts w:hint="eastAsia"/>
                <w:sz w:val="21"/>
                <w:szCs w:val="21"/>
              </w:rPr>
              <w:t>CNAS PT0038-PT-201504</w:t>
            </w:r>
          </w:p>
        </w:tc>
        <w:tc>
          <w:tcPr>
            <w:tcW w:w="1878" w:type="dxa"/>
            <w:tcBorders>
              <w:top w:val="single" w:color="auto" w:sz="4" w:space="0"/>
              <w:left w:val="nil"/>
              <w:bottom w:val="single" w:color="auto" w:sz="4" w:space="0"/>
              <w:right w:val="single" w:color="auto" w:sz="4" w:space="0"/>
            </w:tcBorders>
            <w:vAlign w:val="center"/>
          </w:tcPr>
          <w:p>
            <w:pPr>
              <w:widowControl/>
              <w:rPr>
                <w:sz w:val="21"/>
                <w:szCs w:val="21"/>
              </w:rPr>
            </w:pPr>
            <w:r>
              <w:rPr>
                <w:rFonts w:hint="eastAsia"/>
                <w:sz w:val="21"/>
                <w:szCs w:val="21"/>
              </w:rPr>
              <w:t>皮革中六价铬含量的测定</w:t>
            </w:r>
          </w:p>
        </w:tc>
        <w:tc>
          <w:tcPr>
            <w:tcW w:w="995"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六价铬</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1"/>
                <w:szCs w:val="21"/>
              </w:rPr>
            </w:pPr>
            <w:r>
              <w:rPr>
                <w:rFonts w:hint="eastAsia"/>
                <w:sz w:val="21"/>
                <w:szCs w:val="21"/>
              </w:rPr>
              <w:t>0222</w:t>
            </w:r>
          </w:p>
        </w:tc>
        <w:tc>
          <w:tcPr>
            <w:tcW w:w="3810" w:type="dxa"/>
            <w:tcBorders>
              <w:top w:val="single" w:color="auto" w:sz="4" w:space="0"/>
              <w:left w:val="single" w:color="auto" w:sz="4" w:space="0"/>
              <w:bottom w:val="single" w:color="auto" w:sz="4" w:space="0"/>
              <w:right w:val="single" w:color="auto" w:sz="4" w:space="0"/>
            </w:tcBorders>
            <w:vAlign w:val="center"/>
          </w:tcPr>
          <w:p>
            <w:pPr>
              <w:pStyle w:val="3"/>
              <w:snapToGrid w:val="0"/>
              <w:jc w:val="left"/>
              <w:rPr>
                <w:rFonts w:ascii="Times New Roman" w:hAnsi="Times New Roman"/>
                <w:bCs/>
                <w:kern w:val="0"/>
                <w:szCs w:val="21"/>
              </w:rPr>
            </w:pPr>
            <w:r>
              <w:rPr>
                <w:rFonts w:ascii="Times New Roman" w:hAnsi="Times New Roman"/>
                <w:bCs/>
                <w:kern w:val="0"/>
                <w:szCs w:val="21"/>
              </w:rPr>
              <w:t>GB/T 22807-2008</w:t>
            </w:r>
            <w:r>
              <w:rPr>
                <w:rFonts w:hint="eastAsia" w:ascii="Times New Roman" w:hAnsi="Times New Roman"/>
                <w:bCs/>
                <w:kern w:val="0"/>
                <w:szCs w:val="21"/>
              </w:rPr>
              <w:t>皮革和毛皮</w:t>
            </w:r>
            <w:r>
              <w:rPr>
                <w:rFonts w:ascii="Times New Roman" w:hAnsi="Times New Roman"/>
                <w:bCs/>
                <w:kern w:val="0"/>
                <w:szCs w:val="21"/>
              </w:rPr>
              <w:t xml:space="preserve"> 化学试验 六价铬含量的测定</w:t>
            </w:r>
          </w:p>
          <w:p>
            <w:pPr>
              <w:pStyle w:val="3"/>
              <w:snapToGrid w:val="0"/>
              <w:jc w:val="left"/>
              <w:rPr>
                <w:rFonts w:hAnsi="Times New Roman"/>
                <w:bCs/>
                <w:kern w:val="0"/>
                <w:szCs w:val="21"/>
              </w:rPr>
            </w:pPr>
            <w:r>
              <w:rPr>
                <w:rFonts w:ascii="Times New Roman" w:hAnsi="Times New Roman"/>
                <w:bCs/>
                <w:kern w:val="0"/>
                <w:szCs w:val="21"/>
              </w:rPr>
              <w:t>ISO 17075:2007</w:t>
            </w:r>
            <w:r>
              <w:rPr>
                <w:rFonts w:hint="eastAsia" w:ascii="Times New Roman" w:hAnsi="Times New Roman"/>
                <w:bCs/>
                <w:kern w:val="0"/>
                <w:szCs w:val="21"/>
              </w:rPr>
              <w:t>皮革</w:t>
            </w:r>
            <w:r>
              <w:rPr>
                <w:rFonts w:ascii="Times New Roman" w:hAnsi="Times New Roman"/>
                <w:bCs/>
                <w:kern w:val="0"/>
                <w:szCs w:val="21"/>
              </w:rPr>
              <w:t xml:space="preserve"> 化学试验 六价铬含量的测定</w:t>
            </w:r>
          </w:p>
          <w:p>
            <w:pPr>
              <w:pStyle w:val="3"/>
              <w:snapToGrid w:val="0"/>
              <w:jc w:val="left"/>
              <w:rPr>
                <w:bCs/>
                <w:kern w:val="0"/>
                <w:szCs w:val="21"/>
              </w:rPr>
            </w:pPr>
            <w:r>
              <w:rPr>
                <w:rFonts w:ascii="Times New Roman" w:hAnsi="Times New Roman"/>
                <w:bCs/>
                <w:kern w:val="0"/>
                <w:szCs w:val="21"/>
              </w:rPr>
              <w:t>IULTCS/IUC-18:2007</w:t>
            </w:r>
            <w:r>
              <w:rPr>
                <w:rFonts w:hint="eastAsia" w:ascii="Times New Roman" w:hAnsi="Times New Roman"/>
                <w:bCs/>
                <w:kern w:val="0"/>
                <w:szCs w:val="21"/>
              </w:rPr>
              <w:t>皮革中六价铬含量的测定方法</w:t>
            </w:r>
          </w:p>
        </w:tc>
        <w:tc>
          <w:tcPr>
            <w:tcW w:w="1698" w:type="dxa"/>
            <w:tcBorders>
              <w:top w:val="single" w:color="auto" w:sz="4" w:space="0"/>
              <w:left w:val="nil"/>
              <w:bottom w:val="single" w:color="auto" w:sz="4" w:space="0"/>
              <w:right w:val="single" w:color="auto" w:sz="4" w:space="0"/>
            </w:tcBorders>
            <w:vAlign w:val="center"/>
          </w:tcPr>
          <w:p>
            <w:pPr>
              <w:jc w:val="left"/>
              <w:rPr>
                <w:rFonts w:ascii="宋体" w:hAnsi="宋体"/>
                <w:sz w:val="20"/>
                <w:szCs w:val="20"/>
              </w:rPr>
            </w:pPr>
            <w:r>
              <w:rPr>
                <w:rFonts w:hint="eastAsia" w:ascii="宋体" w:hAnsi="宋体"/>
                <w:sz w:val="20"/>
                <w:szCs w:val="20"/>
              </w:rPr>
              <w:t>报名截止日期：2015.9.31</w:t>
            </w:r>
          </w:p>
          <w:p>
            <w:pPr>
              <w:jc w:val="left"/>
              <w:rPr>
                <w:sz w:val="21"/>
                <w:szCs w:val="21"/>
              </w:rPr>
            </w:pPr>
            <w:r>
              <w:rPr>
                <w:rFonts w:hint="eastAsia" w:ascii="宋体" w:hAnsi="宋体"/>
                <w:sz w:val="20"/>
                <w:szCs w:val="20"/>
              </w:rPr>
              <w:t>具体实施时间：2015.10-2015.11</w:t>
            </w:r>
          </w:p>
        </w:tc>
        <w:tc>
          <w:tcPr>
            <w:tcW w:w="771" w:type="dxa"/>
            <w:tcBorders>
              <w:top w:val="single" w:color="auto" w:sz="4" w:space="0"/>
              <w:left w:val="nil"/>
              <w:bottom w:val="single" w:color="auto" w:sz="4" w:space="0"/>
              <w:right w:val="single" w:color="auto" w:sz="4" w:space="0"/>
            </w:tcBorders>
            <w:vAlign w:val="center"/>
          </w:tcPr>
          <w:p>
            <w:pPr>
              <w:widowControl/>
              <w:jc w:val="center"/>
              <w:rPr>
                <w:sz w:val="21"/>
                <w:szCs w:val="21"/>
              </w:rPr>
            </w:pPr>
            <w:r>
              <w:rPr>
                <w:rFonts w:hint="eastAsia"/>
                <w:sz w:val="21"/>
                <w:szCs w:val="21"/>
              </w:rPr>
              <w:t>1600元</w:t>
            </w:r>
          </w:p>
        </w:tc>
        <w:tc>
          <w:tcPr>
            <w:tcW w:w="624" w:type="dxa"/>
            <w:tcBorders>
              <w:top w:val="single" w:color="auto" w:sz="4" w:space="0"/>
              <w:left w:val="nil"/>
              <w:bottom w:val="single" w:color="auto" w:sz="4" w:space="0"/>
              <w:right w:val="single" w:color="auto" w:sz="4" w:space="0"/>
            </w:tcBorders>
            <w:vAlign w:val="center"/>
          </w:tcPr>
          <w:p>
            <w:pPr>
              <w:widowControl/>
              <w:jc w:val="center"/>
              <w:rPr>
                <w:sz w:val="21"/>
                <w:szCs w:val="21"/>
              </w:rPr>
            </w:pPr>
          </w:p>
        </w:tc>
      </w:tr>
    </w:tbl>
    <w:p>
      <w:pPr>
        <w:widowControl/>
        <w:jc w:val="center"/>
        <w:rPr>
          <w:sz w:val="21"/>
          <w:szCs w:val="21"/>
        </w:rPr>
      </w:pPr>
    </w:p>
    <w:p>
      <w:pPr>
        <w:ind w:left="-707" w:leftChars="-221"/>
        <w:rPr>
          <w:sz w:val="21"/>
          <w:szCs w:val="21"/>
        </w:rPr>
      </w:pPr>
      <w:r>
        <w:rPr>
          <w:rFonts w:hint="eastAsia"/>
          <w:sz w:val="21"/>
          <w:szCs w:val="21"/>
        </w:rPr>
        <w:t>注：CNAS-AL06《实验室认可领域分类》</w:t>
      </w:r>
    </w:p>
    <w:p>
      <w:pPr>
        <w:ind w:left="-707" w:leftChars="-221"/>
        <w:rPr>
          <w:sz w:val="21"/>
          <w:szCs w:val="21"/>
        </w:rPr>
      </w:pPr>
      <w:r>
        <w:rPr>
          <w:rFonts w:hint="eastAsia"/>
          <w:sz w:val="21"/>
          <w:szCs w:val="21"/>
        </w:rPr>
        <w:t xml:space="preserve">    非认可项目将依据CNAS -AL08《能力验证机构备案要求》申请CNAS承认</w:t>
      </w:r>
    </w:p>
    <w:sectPr>
      <w:footerReference r:id="rId4" w:type="even"/>
      <w:pgSz w:w="15840" w:h="12240" w:orient="landscape"/>
      <w:pgMar w:top="1440" w:right="1800" w:bottom="1440" w:left="1800" w:header="720" w:footer="720"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6087C"/>
    <w:rsid w:val="00065BE4"/>
    <w:rsid w:val="00071664"/>
    <w:rsid w:val="00075DB2"/>
    <w:rsid w:val="00096C6F"/>
    <w:rsid w:val="000D3D73"/>
    <w:rsid w:val="00172A27"/>
    <w:rsid w:val="00186FAE"/>
    <w:rsid w:val="00192DBC"/>
    <w:rsid w:val="001B2D25"/>
    <w:rsid w:val="002221BA"/>
    <w:rsid w:val="00230026"/>
    <w:rsid w:val="00284EB9"/>
    <w:rsid w:val="00285681"/>
    <w:rsid w:val="002924B3"/>
    <w:rsid w:val="002C5A90"/>
    <w:rsid w:val="002E30CE"/>
    <w:rsid w:val="0033409B"/>
    <w:rsid w:val="00363963"/>
    <w:rsid w:val="003701BD"/>
    <w:rsid w:val="003C2384"/>
    <w:rsid w:val="004736A9"/>
    <w:rsid w:val="00481C9A"/>
    <w:rsid w:val="004903B9"/>
    <w:rsid w:val="00492D03"/>
    <w:rsid w:val="004B1B62"/>
    <w:rsid w:val="00535759"/>
    <w:rsid w:val="00535BE3"/>
    <w:rsid w:val="005803DD"/>
    <w:rsid w:val="005814CB"/>
    <w:rsid w:val="00586654"/>
    <w:rsid w:val="00624B1B"/>
    <w:rsid w:val="00635DFE"/>
    <w:rsid w:val="00643864"/>
    <w:rsid w:val="00665DC8"/>
    <w:rsid w:val="00697F86"/>
    <w:rsid w:val="006A1A59"/>
    <w:rsid w:val="006A54F3"/>
    <w:rsid w:val="006B7720"/>
    <w:rsid w:val="006D08D0"/>
    <w:rsid w:val="006E27FE"/>
    <w:rsid w:val="0071563D"/>
    <w:rsid w:val="00746745"/>
    <w:rsid w:val="007769E7"/>
    <w:rsid w:val="007A0BBE"/>
    <w:rsid w:val="007B0477"/>
    <w:rsid w:val="007D0F9A"/>
    <w:rsid w:val="007D3473"/>
    <w:rsid w:val="0080344D"/>
    <w:rsid w:val="00834C4A"/>
    <w:rsid w:val="00883D9E"/>
    <w:rsid w:val="008873F7"/>
    <w:rsid w:val="00894367"/>
    <w:rsid w:val="008B1133"/>
    <w:rsid w:val="009211B7"/>
    <w:rsid w:val="00943728"/>
    <w:rsid w:val="00986891"/>
    <w:rsid w:val="00993156"/>
    <w:rsid w:val="009963A7"/>
    <w:rsid w:val="009F235B"/>
    <w:rsid w:val="00AD2FE0"/>
    <w:rsid w:val="00AD447F"/>
    <w:rsid w:val="00AE08EC"/>
    <w:rsid w:val="00B47E5D"/>
    <w:rsid w:val="00B56DFC"/>
    <w:rsid w:val="00B57B54"/>
    <w:rsid w:val="00B9722D"/>
    <w:rsid w:val="00B97259"/>
    <w:rsid w:val="00BA5719"/>
    <w:rsid w:val="00BC436B"/>
    <w:rsid w:val="00BD6D03"/>
    <w:rsid w:val="00BD7950"/>
    <w:rsid w:val="00BF1C95"/>
    <w:rsid w:val="00C00A96"/>
    <w:rsid w:val="00C224E3"/>
    <w:rsid w:val="00C30B2E"/>
    <w:rsid w:val="00C522BE"/>
    <w:rsid w:val="00CA5350"/>
    <w:rsid w:val="00CB02B4"/>
    <w:rsid w:val="00CB083B"/>
    <w:rsid w:val="00CB3B83"/>
    <w:rsid w:val="00CB526E"/>
    <w:rsid w:val="00CE1141"/>
    <w:rsid w:val="00CE34E5"/>
    <w:rsid w:val="00CF6052"/>
    <w:rsid w:val="00D006EE"/>
    <w:rsid w:val="00D70DCA"/>
    <w:rsid w:val="00DE1C6A"/>
    <w:rsid w:val="00E10FA6"/>
    <w:rsid w:val="00E15AAF"/>
    <w:rsid w:val="00E30A8C"/>
    <w:rsid w:val="00E30E6A"/>
    <w:rsid w:val="00E518D4"/>
    <w:rsid w:val="00E86BF7"/>
    <w:rsid w:val="00EE4926"/>
    <w:rsid w:val="00F15ACD"/>
    <w:rsid w:val="00F360B7"/>
    <w:rsid w:val="00F43B5F"/>
    <w:rsid w:val="00F46F6B"/>
    <w:rsid w:val="00F664B1"/>
    <w:rsid w:val="00F715E5"/>
    <w:rsid w:val="00FA35B7"/>
    <w:rsid w:val="00FF571B"/>
    <w:rsid w:val="5FAC2B53"/>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2">
    <w:name w:val="annotation text"/>
    <w:basedOn w:val="1"/>
    <w:link w:val="20"/>
    <w:uiPriority w:val="0"/>
    <w:pPr>
      <w:widowControl/>
      <w:jc w:val="left"/>
    </w:pPr>
    <w:rPr>
      <w:kern w:val="0"/>
      <w:sz w:val="20"/>
      <w:szCs w:val="20"/>
    </w:rPr>
  </w:style>
  <w:style w:type="paragraph" w:styleId="3">
    <w:name w:val="Plain Text"/>
    <w:basedOn w:val="1"/>
    <w:link w:val="21"/>
    <w:uiPriority w:val="0"/>
    <w:rPr>
      <w:rFonts w:ascii="宋体" w:hAnsi="Courier New"/>
      <w:sz w:val="21"/>
      <w:szCs w:val="20"/>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uiPriority w:val="0"/>
    <w:rPr/>
  </w:style>
  <w:style w:type="character" w:styleId="10">
    <w:name w:val="Hyperlink"/>
    <w:uiPriority w:val="0"/>
    <w:rPr>
      <w:color w:val="0000FF"/>
      <w:u w:val="single"/>
    </w:rPr>
  </w:style>
  <w:style w:type="character" w:styleId="11">
    <w:name w:val="annotation reference"/>
    <w:uiPriority w:val="0"/>
    <w:rPr>
      <w:sz w:val="21"/>
      <w:szCs w:val="21"/>
    </w:rPr>
  </w:style>
  <w:style w:type="paragraph" w:customStyle="1" w:styleId="13">
    <w:name w:val="Char"/>
    <w:basedOn w:val="1"/>
    <w:uiPriority w:val="0"/>
    <w:rPr>
      <w:rFonts w:ascii="Arial" w:hAnsi="Arial" w:cs="Arial"/>
      <w:sz w:val="21"/>
      <w:szCs w:val="24"/>
    </w:rPr>
  </w:style>
  <w:style w:type="paragraph" w:customStyle="1" w:styleId="14">
    <w:name w:val="样式2"/>
    <w:basedOn w:val="1"/>
    <w:uiPriority w:val="0"/>
    <w:rPr>
      <w:strike/>
    </w:rPr>
  </w:style>
  <w:style w:type="paragraph" w:customStyle="1" w:styleId="15">
    <w:name w:val="Char Char Char1 Char Char Char Char Char Char Char Char Char Char"/>
    <w:basedOn w:val="1"/>
    <w:uiPriority w:val="0"/>
    <w:pPr>
      <w:widowControl/>
      <w:spacing w:after="160" w:line="240" w:lineRule="exact"/>
      <w:jc w:val="left"/>
    </w:pPr>
    <w:rPr>
      <w:rFonts w:ascii="Verdana" w:hAnsi="Verdana"/>
      <w:kern w:val="0"/>
      <w:sz w:val="18"/>
      <w:szCs w:val="20"/>
      <w:lang w:eastAsia="en-US"/>
    </w:rPr>
  </w:style>
  <w:style w:type="paragraph" w:customStyle="1" w:styleId="16">
    <w:name w:val="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7">
    <w:name w:val="Char Char Char Char Char Char1 Char"/>
    <w:basedOn w:val="1"/>
    <w:uiPriority w:val="0"/>
    <w:pPr>
      <w:tabs>
        <w:tab w:val="left" w:pos="360"/>
      </w:tabs>
    </w:pPr>
    <w:rPr>
      <w:sz w:val="21"/>
      <w:szCs w:val="20"/>
    </w:rPr>
  </w:style>
  <w:style w:type="character" w:customStyle="1" w:styleId="18">
    <w:name w:val="页眉 Char"/>
    <w:link w:val="6"/>
    <w:uiPriority w:val="0"/>
    <w:rPr>
      <w:kern w:val="2"/>
      <w:sz w:val="18"/>
      <w:szCs w:val="18"/>
    </w:rPr>
  </w:style>
  <w:style w:type="character" w:customStyle="1" w:styleId="19">
    <w:name w:val="method_font1"/>
    <w:uiPriority w:val="0"/>
    <w:rPr>
      <w:sz w:val="21"/>
      <w:szCs w:val="21"/>
    </w:rPr>
  </w:style>
  <w:style w:type="character" w:customStyle="1" w:styleId="20">
    <w:name w:val="批注文字 Char"/>
    <w:link w:val="2"/>
    <w:uiPriority w:val="0"/>
    <w:rPr>
      <w:rFonts w:eastAsia="宋体"/>
      <w:lang w:val="en-US" w:eastAsia="zh-CN" w:bidi="ar-SA"/>
    </w:rPr>
  </w:style>
  <w:style w:type="character" w:customStyle="1" w:styleId="21">
    <w:name w:val="纯文本 Char"/>
    <w:aliases w:val=" Char Char Char Char Char, Char Char Char Char1, Char Char Char1, Char Char Char Char Char Char Char Char Char Char Char Char Char Char Char Char Char Char1,普通文字 Char,正文 + 宋体 Char,10 磅 Char,左 Char"/>
    <w:basedOn w:val="8"/>
    <w:link w:val="3"/>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cnas</Company>
  <Pages>1</Pages>
  <Words>124</Words>
  <Characters>713</Characters>
  <Lines>5</Lines>
  <Paragraphs>1</Paragraphs>
  <TotalTime>0</TotalTime>
  <ScaleCrop>false</ScaleCrop>
  <LinksUpToDate>false</LinksUpToDate>
  <CharactersWithSpaces>0</CharactersWithSpaces>
  <Application>WPS Office 个人版_9.1.0.4984_{F1E327BC-269C-435d-A152-05C5408002CA}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2015-02-26T10:49:00Z</dcterms:created>
  <dc:creator>MC SYSTEM</dc:creator>
  <cp:lastModifiedBy>suadmin</cp:lastModifiedBy>
  <cp:lastPrinted>2013-03-15T02:58:00Z</cp:lastPrinted>
  <dcterms:modified xsi:type="dcterms:W3CDTF">2015-02-27T02:11:57Z</dcterms:modified>
  <dc:title>附件1：                         CNAS 2010年度第一批能力验证计划目录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